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8xd3qrf2oux0" w:id="0"/>
      <w:bookmarkEnd w:id="0"/>
      <w:r w:rsidDel="00000000" w:rsidR="00000000" w:rsidRPr="00000000">
        <w:rPr>
          <w:rtl w:val="0"/>
        </w:rPr>
        <w:t xml:space="preserve">Schuler Shook</w:t>
      </w:r>
    </w:p>
    <w:p w:rsidR="00000000" w:rsidDel="00000000" w:rsidP="00000000" w:rsidRDefault="00000000" w:rsidRPr="00000000" w14:paraId="00000002">
      <w:pPr>
        <w:pStyle w:val="Subtitle"/>
        <w:rPr/>
      </w:pPr>
      <w:bookmarkStart w:colFirst="0" w:colLast="0" w:name="_db0q469kkqnk" w:id="1"/>
      <w:bookmarkEnd w:id="1"/>
      <w:r w:rsidDel="00000000" w:rsidR="00000000" w:rsidRPr="00000000">
        <w:rPr>
          <w:rtl w:val="0"/>
        </w:rPr>
        <w:t xml:space="preserve">Olympic Venues Landing Page</w:t>
      </w:r>
    </w:p>
    <w:p w:rsidR="00000000" w:rsidDel="00000000" w:rsidP="00000000" w:rsidRDefault="00000000" w:rsidRPr="00000000" w14:paraId="00000003">
      <w:pPr>
        <w:rPr/>
      </w:pPr>
      <w:r w:rsidDel="00000000" w:rsidR="00000000" w:rsidRPr="00000000">
        <w:rPr>
          <w:rtl w:val="0"/>
        </w:rPr>
      </w:r>
    </w:p>
    <w:tbl>
      <w:tblPr>
        <w:tblStyle w:val="Table1"/>
        <w:tblW w:w="9029.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6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pStyle w:val="Heading1"/>
              <w:widowControl w:val="0"/>
              <w:spacing w:before="0" w:line="240" w:lineRule="auto"/>
              <w:rPr/>
            </w:pPr>
            <w:bookmarkStart w:colFirst="0" w:colLast="0" w:name="_8d8hyr2n0kau" w:id="2"/>
            <w:bookmarkEnd w:id="2"/>
            <w:r w:rsidDel="00000000" w:rsidR="00000000" w:rsidRPr="00000000">
              <w:rPr>
                <w:rtl w:val="0"/>
              </w:rPr>
              <w:t xml:space="preserve">Olympic Venues That Work—Before, During, and After the Games</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pStyle w:val="Heading3"/>
              <w:widowControl w:val="0"/>
              <w:spacing w:before="0" w:line="240" w:lineRule="auto"/>
              <w:rPr/>
            </w:pPr>
            <w:bookmarkStart w:colFirst="0" w:colLast="0" w:name="_p6ewg645lduu" w:id="3"/>
            <w:bookmarkEnd w:id="3"/>
            <w:r w:rsidDel="00000000" w:rsidR="00000000" w:rsidRPr="00000000">
              <w:rPr>
                <w:rtl w:val="0"/>
              </w:rPr>
              <w:t xml:space="preserve">Venue planning, AV, and lighting design informed by real-world operations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240" w:line="240" w:lineRule="auto"/>
              <w:rPr/>
            </w:pPr>
            <w:r w:rsidDel="00000000" w:rsidR="00000000" w:rsidRPr="00000000">
              <w:rPr>
                <w:rtl w:val="0"/>
              </w:rPr>
              <w:t xml:space="preserve">The Brisbane 2032 Olympic and Paralympic Games will deliver many new and upgraded venues across Queensland. The goal is not just to ensure they perform brilliantly during the Games, but also to ensure they remain vibrant, well-used community assets for the decades that follow.</w:t>
            </w:r>
          </w:p>
          <w:p w:rsidR="00000000" w:rsidDel="00000000" w:rsidP="00000000" w:rsidRDefault="00000000" w:rsidRPr="00000000" w14:paraId="0000000B">
            <w:pPr>
              <w:widowControl w:val="0"/>
              <w:spacing w:after="240" w:before="240" w:line="240" w:lineRule="auto"/>
              <w:rPr/>
            </w:pPr>
            <w:r w:rsidDel="00000000" w:rsidR="00000000" w:rsidRPr="00000000">
              <w:rPr>
                <w:rtl w:val="0"/>
              </w:rPr>
              <w:t xml:space="preserve">Schuler Shook has been planning major venues for over four decades, from Jay Pritzker Pavilion by Frank Gehry to Queensland’s own HOTA Outdoor Stage. Our team combines this institutional experience with deep individual expertise. Our staff have designed broadcast systems for NFL stadiums, managed events at Melbourne &amp; Olympic Parks, and delivered lighting for some of the world’s most recognised public spaces.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[Image]</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F">
            <w:pPr>
              <w:pStyle w:val="Heading4"/>
              <w:widowControl w:val="0"/>
              <w:spacing w:line="240" w:lineRule="auto"/>
              <w:rPr/>
            </w:pPr>
            <w:bookmarkStart w:colFirst="0" w:colLast="0" w:name="_hglxub6qew1o" w:id="4"/>
            <w:bookmarkEnd w:id="4"/>
            <w:r w:rsidDel="00000000" w:rsidR="00000000" w:rsidRPr="00000000">
              <w:rPr>
                <w:rtl w:val="0"/>
              </w:rPr>
              <w:t xml:space="preserve">Download Our Capability Statement</w:t>
            </w:r>
          </w:p>
          <w:p w:rsidR="00000000" w:rsidDel="00000000" w:rsidP="00000000" w:rsidRDefault="00000000" w:rsidRPr="00000000" w14:paraId="00000010">
            <w:pPr>
              <w:spacing w:line="240" w:lineRule="auto"/>
              <w:rPr/>
            </w:pPr>
            <w:r w:rsidDel="00000000" w:rsidR="00000000" w:rsidRPr="00000000">
              <w:rPr>
                <w:rtl w:val="0"/>
              </w:rPr>
              <w:t xml:space="preserve">For a comprehensive overview of our Olympic venue capabilities—including detailed project experience, team credentials, and our approach to broadcast-ready infrastructure—download our capability statement.</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[Download Button]</w:t>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2"/>
              <w:widowControl w:val="0"/>
              <w:spacing w:line="240" w:lineRule="auto"/>
              <w:rPr/>
            </w:pPr>
            <w:bookmarkStart w:colFirst="0" w:colLast="0" w:name="_ek6gdzjdxqc5" w:id="5"/>
            <w:bookmarkEnd w:id="5"/>
            <w:r w:rsidDel="00000000" w:rsidR="00000000" w:rsidRPr="00000000">
              <w:rPr>
                <w:rtl w:val="0"/>
              </w:rPr>
              <w:t xml:space="preserve">Insights from the Operator's Side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[Image]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Jack Dahlqvist spent years as Technical Manager at Melbourne &amp; Olympic Parks, delivering major events at Rod Laver Arena, Margaret Court Arena, and AAMI Park. He's seen firsthand what makes venues genuinely flexible—and which design decisions operators wish they could undo.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this article, Jack shares what he's learned about designing venues that work for the Games and for the thirty years that follow.</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Read: Modern Olympic Venue Design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0">
            <w:pPr>
              <w:pStyle w:val="Heading3"/>
              <w:spacing w:line="240" w:lineRule="auto"/>
              <w:rPr/>
            </w:pPr>
            <w:bookmarkStart w:colFirst="0" w:colLast="0" w:name="_9le46k118kio" w:id="6"/>
            <w:bookmarkEnd w:id="6"/>
            <w:r w:rsidDel="00000000" w:rsidR="00000000" w:rsidRPr="00000000">
              <w:rPr>
                <w:rtl w:val="0"/>
              </w:rPr>
              <w:t xml:space="preserve">Let's Talk</w:t>
            </w:r>
          </w:p>
          <w:p w:rsidR="00000000" w:rsidDel="00000000" w:rsidP="00000000" w:rsidRDefault="00000000" w:rsidRPr="00000000" w14:paraId="00000021">
            <w:pPr>
              <w:spacing w:line="240" w:lineRule="auto"/>
              <w:rPr/>
            </w:pPr>
            <w:r w:rsidDel="00000000" w:rsidR="00000000" w:rsidRPr="00000000">
              <w:rPr>
                <w:rtl w:val="0"/>
              </w:rPr>
              <w:t xml:space="preserve">If you're working on Olympic venue projects—or any venue where flexibility and long-term viability matter—we'd welcome the chance to share what we've learned and hear about your challenges.</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Jim Hultquist, Director</w:t>
            </w:r>
          </w:p>
          <w:p w:rsidR="00000000" w:rsidDel="00000000" w:rsidP="00000000" w:rsidRDefault="00000000" w:rsidRPr="00000000" w14:paraId="00000024">
            <w:pPr>
              <w:spacing w:line="240" w:lineRule="auto"/>
              <w:rPr/>
            </w:pPr>
            <w:r w:rsidDel="00000000" w:rsidR="00000000" w:rsidRPr="00000000">
              <w:rPr>
                <w:rtl w:val="0"/>
              </w:rPr>
              <w:t xml:space="preserve">melbourne@schulershook.com</w:t>
            </w:r>
          </w:p>
          <w:p w:rsidR="00000000" w:rsidDel="00000000" w:rsidP="00000000" w:rsidRDefault="00000000" w:rsidRPr="00000000" w14:paraId="00000025">
            <w:pPr>
              <w:spacing w:line="240" w:lineRule="auto"/>
              <w:rPr/>
            </w:pPr>
            <w:r w:rsidDel="00000000" w:rsidR="00000000" w:rsidRPr="00000000">
              <w:rPr>
                <w:rtl w:val="0"/>
              </w:rPr>
              <w:t xml:space="preserve">+61 3 9028 8466</w:t>
            </w:r>
          </w:p>
          <w:p w:rsidR="00000000" w:rsidDel="00000000" w:rsidP="00000000" w:rsidRDefault="00000000" w:rsidRPr="00000000" w14:paraId="00000026">
            <w:pPr>
              <w:spacing w:line="240" w:lineRule="auto"/>
              <w:rPr/>
            </w:pPr>
            <w:r w:rsidDel="00000000" w:rsidR="00000000" w:rsidRPr="00000000">
              <w:rPr>
                <w:rtl w:val="0"/>
              </w:rPr>
              <w:t xml:space="preserve">Level 5, 12–14 McKillop Street, Melbourne VIC 3000</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t xml:space="preserve">OR [Book a meeting button]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2"/>
              <w:widowControl w:val="0"/>
              <w:spacing w:line="240" w:lineRule="auto"/>
              <w:rPr/>
            </w:pPr>
            <w:bookmarkStart w:colFirst="0" w:colLast="0" w:name="_fxwmhfqz1iwn" w:id="7"/>
            <w:bookmarkEnd w:id="7"/>
            <w:r w:rsidDel="00000000" w:rsidR="00000000" w:rsidRPr="00000000">
              <w:rPr>
                <w:rtl w:val="0"/>
              </w:rPr>
              <w:t xml:space="preserve">Relevant Experience</w:t>
            </w:r>
          </w:p>
          <w:p w:rsidR="00000000" w:rsidDel="00000000" w:rsidP="00000000" w:rsidRDefault="00000000" w:rsidRPr="00000000" w14:paraId="0000002D">
            <w:pPr>
              <w:spacing w:line="240" w:lineRule="auto"/>
              <w:rPr/>
            </w:pPr>
            <w:r w:rsidDel="00000000" w:rsidR="00000000" w:rsidRPr="00000000">
              <w:rPr>
                <w:rtl w:val="0"/>
              </w:rPr>
              <w:t xml:space="preserve">[Display project gallery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Style w:val="Heading3"/>
              <w:widowControl w:val="0"/>
              <w:spacing w:line="240" w:lineRule="auto"/>
              <w:rPr/>
            </w:pPr>
            <w:bookmarkStart w:colFirst="0" w:colLast="0" w:name="_qxpistxk45m2" w:id="8"/>
            <w:bookmarkEnd w:id="8"/>
            <w:r w:rsidDel="00000000" w:rsidR="00000000" w:rsidRPr="00000000">
              <w:rPr>
                <w:rtl w:val="0"/>
              </w:rPr>
              <w:t xml:space="preserve">Millennium Park, Jay Pritzker Pavilion</w:t>
            </w:r>
          </w:p>
          <w:p w:rsidR="00000000" w:rsidDel="00000000" w:rsidP="00000000" w:rsidRDefault="00000000" w:rsidRPr="00000000" w14:paraId="00000031">
            <w:pPr>
              <w:spacing w:after="100" w:line="240" w:lineRule="auto"/>
              <w:rPr>
                <w:i w:val="1"/>
                <w:iCs w:val="1"/>
                <w:color w:val="666666"/>
                <w:sz w:val="20"/>
                <w:szCs w:val="20"/>
              </w:rPr>
            </w:pPr>
            <w:r w:rsidDel="00000000" w:rsidR="00000000" w:rsidRPr="00000000">
              <w:rPr>
                <w:i w:val="1"/>
                <w:iCs w:val="1"/>
                <w:color w:val="666666"/>
                <w:sz w:val="20"/>
                <w:szCs w:val="20"/>
                <w:rtl w:val="0"/>
              </w:rPr>
              <w:t xml:space="preserve">Chicago, Illinois — Theatre Planning &amp; Lighting Design</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[Image]</w:t>
              <w:br w:type="textWrapping"/>
            </w:r>
          </w:p>
          <w:p w:rsidR="00000000" w:rsidDel="00000000" w:rsidP="00000000" w:rsidRDefault="00000000" w:rsidRPr="00000000" w14:paraId="00000034">
            <w:pPr>
              <w:spacing w:line="240" w:lineRule="auto"/>
              <w:rPr/>
            </w:pPr>
            <w:r w:rsidDel="00000000" w:rsidR="00000000" w:rsidRPr="00000000">
              <w:rPr>
                <w:rtl w:val="0"/>
              </w:rPr>
              <w:t xml:space="preserve">[Short intro text and link to project page on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Style w:val="Heading3"/>
              <w:widowControl w:val="0"/>
              <w:spacing w:line="240" w:lineRule="auto"/>
              <w:rPr/>
            </w:pPr>
            <w:bookmarkStart w:colFirst="0" w:colLast="0" w:name="_qe8gq6t2whyt" w:id="9"/>
            <w:bookmarkEnd w:id="9"/>
            <w:r w:rsidDel="00000000" w:rsidR="00000000" w:rsidRPr="00000000">
              <w:rPr>
                <w:rtl w:val="0"/>
              </w:rPr>
              <w:t xml:space="preserve">HOTA Outdoor Stage</w:t>
            </w:r>
          </w:p>
          <w:p w:rsidR="00000000" w:rsidDel="00000000" w:rsidP="00000000" w:rsidRDefault="00000000" w:rsidRPr="00000000" w14:paraId="00000036">
            <w:pPr>
              <w:spacing w:after="100" w:line="240" w:lineRule="auto"/>
              <w:rPr/>
            </w:pPr>
            <w:r w:rsidDel="00000000" w:rsidR="00000000" w:rsidRPr="00000000">
              <w:rPr>
                <w:i w:val="1"/>
                <w:iCs w:val="1"/>
                <w:color w:val="666666"/>
                <w:sz w:val="20"/>
                <w:szCs w:val="20"/>
                <w:rtl w:val="0"/>
              </w:rPr>
              <w:t xml:space="preserve">Surfers Paradise, Queensland — Theatre Planning &amp; AV</w:t>
            </w: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t xml:space="preserve">[Image]</w:t>
              <w:br w:type="textWrapping"/>
            </w:r>
          </w:p>
          <w:p w:rsidR="00000000" w:rsidDel="00000000" w:rsidP="00000000" w:rsidRDefault="00000000" w:rsidRPr="00000000" w14:paraId="00000038">
            <w:pPr>
              <w:spacing w:line="240" w:lineRule="auto"/>
              <w:rPr/>
            </w:pPr>
            <w:r w:rsidDel="00000000" w:rsidR="00000000" w:rsidRPr="00000000">
              <w:rPr>
                <w:rtl w:val="0"/>
              </w:rPr>
              <w:t xml:space="preserve">[Short intro text and link to project page on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3"/>
              <w:widowControl w:val="0"/>
              <w:spacing w:line="240" w:lineRule="auto"/>
              <w:rPr/>
            </w:pPr>
            <w:bookmarkStart w:colFirst="0" w:colLast="0" w:name="_erav2behy7a1" w:id="10"/>
            <w:bookmarkEnd w:id="10"/>
            <w:r w:rsidDel="00000000" w:rsidR="00000000" w:rsidRPr="00000000">
              <w:rPr>
                <w:rtl w:val="0"/>
              </w:rPr>
              <w:t xml:space="preserve">Houston Astros — Daikin Park</w:t>
            </w:r>
          </w:p>
          <w:p w:rsidR="00000000" w:rsidDel="00000000" w:rsidP="00000000" w:rsidRDefault="00000000" w:rsidRPr="00000000" w14:paraId="0000003A">
            <w:pPr>
              <w:spacing w:after="100" w:line="240" w:lineRule="auto"/>
              <w:rPr/>
            </w:pPr>
            <w:r w:rsidDel="00000000" w:rsidR="00000000" w:rsidRPr="00000000">
              <w:rPr>
                <w:i w:val="1"/>
                <w:iCs w:val="1"/>
                <w:color w:val="666666"/>
                <w:sz w:val="20"/>
                <w:szCs w:val="20"/>
                <w:rtl w:val="0"/>
              </w:rPr>
              <w:t xml:space="preserve">Houston, Texas — Broadcast Control Room Relocation</w:t>
            </w: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[Image]</w:t>
              <w:br w:type="textWrapping"/>
            </w:r>
          </w:p>
          <w:p w:rsidR="00000000" w:rsidDel="00000000" w:rsidP="00000000" w:rsidRDefault="00000000" w:rsidRPr="00000000" w14:paraId="0000003C">
            <w:pPr>
              <w:spacing w:line="240" w:lineRule="auto"/>
              <w:rPr>
                <w:b w:val="1"/>
                <w:bCs w:val="1"/>
              </w:rPr>
            </w:pPr>
            <w:r w:rsidDel="00000000" w:rsidR="00000000" w:rsidRPr="00000000">
              <w:rPr>
                <w:rtl w:val="0"/>
              </w:rPr>
              <w:t xml:space="preserve">[Short intro text and link to project page on website]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[Image]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pStyle w:val="Heading2"/>
              <w:keepNext w:val="0"/>
              <w:keepLines w:val="0"/>
              <w:widowControl w:val="0"/>
              <w:spacing w:after="180" w:before="360" w:line="240" w:lineRule="auto"/>
              <w:rPr/>
            </w:pPr>
            <w:bookmarkStart w:colFirst="0" w:colLast="0" w:name="_chheprq5y0in" w:id="11"/>
            <w:bookmarkEnd w:id="11"/>
            <w:r w:rsidDel="00000000" w:rsidR="00000000" w:rsidRPr="00000000">
              <w:rPr>
                <w:rtl w:val="0"/>
              </w:rPr>
              <w:t xml:space="preserve">How We Can Help</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Style w:val="Heading4"/>
              <w:widowControl w:val="0"/>
              <w:spacing w:line="240" w:lineRule="auto"/>
              <w:rPr/>
            </w:pPr>
            <w:bookmarkStart w:colFirst="0" w:colLast="0" w:name="_ep9cfakoe1y9" w:id="12"/>
            <w:bookmarkEnd w:id="12"/>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Schuler Shook brings together venue planning, audio-visual systems, and lighting design in a single, integrated team. For Olympic venues, that means:</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b w:val="1"/>
                <w:bCs w:val="1"/>
                <w:rtl w:val="0"/>
              </w:rPr>
              <w:t xml:space="preserve">Operational intelligence</w:t>
            </w:r>
            <w:r w:rsidDel="00000000" w:rsidR="00000000" w:rsidRPr="00000000">
              <w:rPr>
                <w:rtl w:val="0"/>
              </w:rPr>
              <w:t xml:space="preserve"> — Our team includes people who've worked as venue technicians and operators. We understand what makes changeovers efficient, what frustrates hirers, and which design decisions operators wish they could undo.</w:t>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b w:val="1"/>
                <w:bCs w:val="1"/>
                <w:rtl w:val="0"/>
              </w:rPr>
              <w:t xml:space="preserve">Broadcast-ready systems</w:t>
            </w:r>
            <w:r w:rsidDel="00000000" w:rsidR="00000000" w:rsidRPr="00000000">
              <w:rPr>
                <w:rtl w:val="0"/>
              </w:rPr>
              <w:t xml:space="preserve"> — Experience with mission-critical AV for professional stadiums, including redundant infrastructure that supports hundreds of simultaneous broadcast feeds.</w:t>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b w:val="1"/>
                <w:bCs w:val="1"/>
                <w:rtl w:val="0"/>
              </w:rPr>
              <w:t xml:space="preserve">Legacy thinking</w:t>
            </w:r>
            <w:r w:rsidDel="00000000" w:rsidR="00000000" w:rsidRPr="00000000">
              <w:rPr>
                <w:rtl w:val="0"/>
              </w:rPr>
              <w:t xml:space="preserve"> — We help plan venues that will work brilliantly during the Games and remain commercially viable for concerts, corporate events, and community use for decades afterward.</w:t>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b w:val="1"/>
                <w:bCs w:val="1"/>
                <w:rtl w:val="0"/>
              </w:rPr>
              <w:t xml:space="preserve">Collaborative approach</w:t>
            </w:r>
            <w:r w:rsidDel="00000000" w:rsidR="00000000" w:rsidRPr="00000000">
              <w:rPr>
                <w:rtl w:val="0"/>
              </w:rPr>
              <w:t xml:space="preserve"> — We work from the wings, supporting your architectural vision rather than competing with it. Technical systems that enhance the design, not distract from it.</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B">
            <w:pPr>
              <w:pStyle w:val="Heading4"/>
              <w:widowControl w:val="0"/>
              <w:spacing w:line="240" w:lineRule="auto"/>
              <w:rPr/>
            </w:pPr>
            <w:bookmarkStart w:colFirst="0" w:colLast="0" w:name="_11drknll3bz5" w:id="13"/>
            <w:bookmarkEnd w:id="13"/>
            <w:r w:rsidDel="00000000" w:rsidR="00000000" w:rsidRPr="00000000">
              <w:rPr>
                <w:rtl w:val="0"/>
              </w:rPr>
              <w:t xml:space="preserve">Download Our Capability Statement</w:t>
            </w:r>
          </w:p>
          <w:p w:rsidR="00000000" w:rsidDel="00000000" w:rsidP="00000000" w:rsidRDefault="00000000" w:rsidRPr="00000000" w14:paraId="0000004C">
            <w:pPr>
              <w:spacing w:line="240" w:lineRule="auto"/>
              <w:rPr/>
            </w:pPr>
            <w:r w:rsidDel="00000000" w:rsidR="00000000" w:rsidRPr="00000000">
              <w:rPr>
                <w:rtl w:val="0"/>
              </w:rPr>
              <w:t xml:space="preserve">For a comprehensive overview of our Olympic venue capabilities—including detailed project experience, team credentials, and our approach to broadcast-ready infrastructure—download our capability statement.</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[Download Button]</w:t>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1">
            <w:pPr>
              <w:pStyle w:val="Heading2"/>
              <w:widowControl w:val="0"/>
              <w:spacing w:line="240" w:lineRule="auto"/>
              <w:rPr/>
            </w:pPr>
            <w:bookmarkStart w:colFirst="0" w:colLast="0" w:name="_56locyz4wvfl" w:id="14"/>
            <w:bookmarkEnd w:id="14"/>
            <w:r w:rsidDel="00000000" w:rsidR="00000000" w:rsidRPr="00000000">
              <w:rPr>
                <w:rtl w:val="0"/>
              </w:rPr>
              <w:t xml:space="preserve">Queensland Delivery Track Record</w:t>
            </w:r>
          </w:p>
          <w:p w:rsidR="00000000" w:rsidDel="00000000" w:rsidP="00000000" w:rsidRDefault="00000000" w:rsidRPr="00000000" w14:paraId="00000052">
            <w:pPr>
              <w:spacing w:line="240" w:lineRule="auto"/>
              <w:rPr/>
            </w:pPr>
            <w:r w:rsidDel="00000000" w:rsidR="00000000" w:rsidRPr="00000000">
              <w:rPr>
                <w:rtl w:val="0"/>
              </w:rPr>
              <w:t xml:space="preserve">[Display project gallery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Style w:val="Heading3"/>
              <w:rPr/>
            </w:pPr>
            <w:bookmarkStart w:colFirst="0" w:colLast="0" w:name="_4eluugui71k9" w:id="15"/>
            <w:bookmarkEnd w:id="15"/>
            <w:r w:rsidDel="00000000" w:rsidR="00000000" w:rsidRPr="00000000">
              <w:rPr>
                <w:rtl w:val="0"/>
              </w:rPr>
              <w:t xml:space="preserve">QPAC Glasshouse</w:t>
            </w:r>
          </w:p>
          <w:p w:rsidR="00000000" w:rsidDel="00000000" w:rsidP="00000000" w:rsidRDefault="00000000" w:rsidRPr="00000000" w14:paraId="00000056">
            <w:pPr>
              <w:spacing w:line="240" w:lineRule="auto"/>
              <w:rPr/>
            </w:pPr>
            <w:r w:rsidDel="00000000" w:rsidR="00000000" w:rsidRPr="00000000">
              <w:rPr>
                <w:rtl w:val="0"/>
              </w:rPr>
              <w:t xml:space="preserve">[Image]</w:t>
              <w:br w:type="textWrapping"/>
            </w:r>
          </w:p>
          <w:p w:rsidR="00000000" w:rsidDel="00000000" w:rsidP="00000000" w:rsidRDefault="00000000" w:rsidRPr="00000000" w14:paraId="00000057">
            <w:pPr>
              <w:spacing w:line="240" w:lineRule="auto"/>
              <w:rPr/>
            </w:pPr>
            <w:r w:rsidDel="00000000" w:rsidR="00000000" w:rsidRPr="00000000">
              <w:rPr>
                <w:rtl w:val="0"/>
              </w:rPr>
              <w:t xml:space="preserve">[Short intro text and link to project page on website]</w:t>
            </w:r>
          </w:p>
          <w:p w:rsidR="00000000" w:rsidDel="00000000" w:rsidP="00000000" w:rsidRDefault="00000000" w:rsidRPr="00000000" w14:paraId="0000005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Style w:val="Heading3"/>
              <w:widowControl w:val="0"/>
              <w:spacing w:line="240" w:lineRule="auto"/>
              <w:rPr/>
            </w:pPr>
            <w:bookmarkStart w:colFirst="0" w:colLast="0" w:name="_tojc2i5igdwe" w:id="16"/>
            <w:bookmarkEnd w:id="16"/>
            <w:r w:rsidDel="00000000" w:rsidR="00000000" w:rsidRPr="00000000">
              <w:rPr>
                <w:rtl w:val="0"/>
              </w:rPr>
              <w:t xml:space="preserve">Cairns Performing Arts Centre</w:t>
            </w:r>
          </w:p>
          <w:p w:rsidR="00000000" w:rsidDel="00000000" w:rsidP="00000000" w:rsidRDefault="00000000" w:rsidRPr="00000000" w14:paraId="0000005A">
            <w:pPr>
              <w:spacing w:line="240" w:lineRule="auto"/>
              <w:rPr/>
            </w:pPr>
            <w:r w:rsidDel="00000000" w:rsidR="00000000" w:rsidRPr="00000000">
              <w:rPr>
                <w:rtl w:val="0"/>
              </w:rPr>
              <w:t xml:space="preserve">[Image]</w:t>
              <w:br w:type="textWrapping"/>
            </w:r>
          </w:p>
          <w:p w:rsidR="00000000" w:rsidDel="00000000" w:rsidP="00000000" w:rsidRDefault="00000000" w:rsidRPr="00000000" w14:paraId="0000005B">
            <w:pPr>
              <w:spacing w:line="240" w:lineRule="auto"/>
              <w:rPr/>
            </w:pPr>
            <w:r w:rsidDel="00000000" w:rsidR="00000000" w:rsidRPr="00000000">
              <w:rPr>
                <w:rtl w:val="0"/>
              </w:rPr>
              <w:t xml:space="preserve">[Short intro text and link to project page on website]</w:t>
            </w:r>
          </w:p>
          <w:p w:rsidR="00000000" w:rsidDel="00000000" w:rsidP="00000000" w:rsidRDefault="00000000" w:rsidRPr="00000000" w14:paraId="0000005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Style w:val="Heading3"/>
              <w:widowControl w:val="0"/>
              <w:spacing w:line="240" w:lineRule="auto"/>
              <w:rPr/>
            </w:pPr>
            <w:bookmarkStart w:colFirst="0" w:colLast="0" w:name="_9ai4s83w3z6g" w:id="17"/>
            <w:bookmarkEnd w:id="17"/>
            <w:r w:rsidDel="00000000" w:rsidR="00000000" w:rsidRPr="00000000">
              <w:rPr>
                <w:rtl w:val="0"/>
              </w:rPr>
              <w:t xml:space="preserve">QPAC Lyric Refurbishment</w:t>
            </w:r>
          </w:p>
          <w:p w:rsidR="00000000" w:rsidDel="00000000" w:rsidP="00000000" w:rsidRDefault="00000000" w:rsidRPr="00000000" w14:paraId="0000005E">
            <w:pPr>
              <w:spacing w:line="240" w:lineRule="auto"/>
              <w:rPr/>
            </w:pPr>
            <w:r w:rsidDel="00000000" w:rsidR="00000000" w:rsidRPr="00000000">
              <w:rPr>
                <w:rtl w:val="0"/>
              </w:rPr>
              <w:t xml:space="preserve">[Image]</w:t>
              <w:br w:type="textWrapping"/>
            </w:r>
          </w:p>
          <w:p w:rsidR="00000000" w:rsidDel="00000000" w:rsidP="00000000" w:rsidRDefault="00000000" w:rsidRPr="00000000" w14:paraId="0000005F">
            <w:pPr>
              <w:spacing w:line="240" w:lineRule="auto"/>
              <w:rPr/>
            </w:pPr>
            <w:r w:rsidDel="00000000" w:rsidR="00000000" w:rsidRPr="00000000">
              <w:rPr>
                <w:rtl w:val="0"/>
              </w:rPr>
              <w:t xml:space="preserve">[Short intro text and link to project page on website]</w:t>
            </w:r>
          </w:p>
        </w:tc>
      </w:tr>
    </w:tbl>
    <w:p w:rsidR="00000000" w:rsidDel="00000000" w:rsidP="00000000" w:rsidRDefault="00000000" w:rsidRPr="00000000" w14:paraId="0000006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Work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Work Sa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Work Sans" w:cs="Work Sans" w:eastAsia="Work Sans" w:hAnsi="Work Sans"/>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Work Sans SemiBold" w:cs="Work Sans SemiBold" w:eastAsia="Work Sans SemiBold" w:hAnsi="Work Sans SemiBold"/>
      <w:sz w:val="40"/>
      <w:szCs w:val="40"/>
    </w:rPr>
  </w:style>
  <w:style w:type="paragraph" w:styleId="Heading2">
    <w:name w:val="heading 2"/>
    <w:basedOn w:val="Normal"/>
    <w:next w:val="Normal"/>
    <w:pPr>
      <w:keepNext w:val="1"/>
      <w:keepLines w:val="1"/>
      <w:pageBreakBefore w:val="0"/>
      <w:spacing w:after="120" w:before="360" w:lineRule="auto"/>
    </w:pPr>
    <w:rPr>
      <w:rFonts w:ascii="Work Sans Medium" w:cs="Work Sans Medium" w:eastAsia="Work Sans Medium" w:hAnsi="Work Sans Medium"/>
      <w:sz w:val="32"/>
      <w:szCs w:val="32"/>
    </w:rPr>
  </w:style>
  <w:style w:type="paragraph" w:styleId="Heading3">
    <w:name w:val="heading 3"/>
    <w:basedOn w:val="Normal"/>
    <w:next w:val="Normal"/>
    <w:pPr>
      <w:keepNext w:val="1"/>
      <w:keepLines w:val="1"/>
      <w:pageBreakBefore w:val="0"/>
      <w:spacing w:after="80" w:before="320" w:lineRule="auto"/>
    </w:pPr>
    <w:rPr>
      <w:rFonts w:ascii="Work Sans Medium" w:cs="Work Sans Medium" w:eastAsia="Work Sans Medium" w:hAnsi="Work Sans Medium"/>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rFonts w:ascii="Work Sans" w:cs="Work Sans" w:eastAsia="Work Sans" w:hAnsi="Work Sans"/>
      <w:b w:val="1"/>
      <w:bCs w:val="1"/>
      <w:sz w:val="52"/>
      <w:szCs w:val="52"/>
    </w:rPr>
  </w:style>
  <w:style w:type="paragraph" w:styleId="Subtitle">
    <w:name w:val="Subtitle"/>
    <w:basedOn w:val="Normal"/>
    <w:next w:val="Normal"/>
    <w:pPr>
      <w:keepNext w:val="1"/>
      <w:keepLines w:val="1"/>
      <w:pageBreakBefore w:val="0"/>
      <w:spacing w:after="320" w:lineRule="auto"/>
    </w:pPr>
    <w:rPr>
      <w:rFonts w:ascii="Work Sans Medium" w:cs="Work Sans Medium" w:eastAsia="Work Sans Medium" w:hAnsi="Work Sans Medium"/>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WorkSansMedium-regular.ttf"/><Relationship Id="rId2" Type="http://schemas.openxmlformats.org/officeDocument/2006/relationships/font" Target="fonts/WorkSansMedium-bold.ttf"/><Relationship Id="rId3" Type="http://schemas.openxmlformats.org/officeDocument/2006/relationships/font" Target="fonts/WorkSansMedium-italic.ttf"/><Relationship Id="rId4" Type="http://schemas.openxmlformats.org/officeDocument/2006/relationships/font" Target="fonts/WorkSansMedium-boldItalic.ttf"/><Relationship Id="rId11" Type="http://schemas.openxmlformats.org/officeDocument/2006/relationships/font" Target="fonts/WorkSansSemiBold-italic.ttf"/><Relationship Id="rId10" Type="http://schemas.openxmlformats.org/officeDocument/2006/relationships/font" Target="fonts/WorkSansSemiBold-bold.ttf"/><Relationship Id="rId12" Type="http://schemas.openxmlformats.org/officeDocument/2006/relationships/font" Target="fonts/WorkSansSemiBold-boldItalic.ttf"/><Relationship Id="rId9" Type="http://schemas.openxmlformats.org/officeDocument/2006/relationships/font" Target="fonts/WorkSansSemiBold-regular.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